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1.直流屏技术要求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10KV高压</w:t>
      </w:r>
      <w:r>
        <w:rPr>
          <w:rFonts w:ascii="宋体" w:hAnsi="宋体"/>
          <w:sz w:val="24"/>
          <w:szCs w:val="24"/>
        </w:rPr>
        <w:t>柜操作</w:t>
      </w:r>
      <w:r>
        <w:rPr>
          <w:rFonts w:ascii="宋体" w:hAnsi="宋体"/>
          <w:sz w:val="24"/>
          <w:szCs w:val="24"/>
        </w:rPr>
        <w:t>电源配一套GZDW系列直流电源屏，</w:t>
      </w:r>
      <w:r>
        <w:rPr>
          <w:rFonts w:ascii="宋体" w:hAnsi="宋体"/>
          <w:sz w:val="24"/>
          <w:szCs w:val="24"/>
        </w:rPr>
        <w:t>直流屏配监控</w:t>
      </w:r>
      <w:r>
        <w:rPr>
          <w:rFonts w:ascii="宋体" w:hAnsi="宋体"/>
          <w:sz w:val="24"/>
          <w:szCs w:val="24"/>
        </w:rPr>
        <w:t>模块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采用三相AC400V双回路输入，能自动检测输入电源参数及故障进行相互切换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技术要求:直流屏选用高频开关直流电源和阀控密封式铅酸蓄电池，高频开关直流电源数量按(N+1)选择。容量为</w:t>
      </w:r>
      <w:r>
        <w:rPr>
          <w:rFonts w:ascii="宋体" w:hAnsi="宋体" w:hint="eastAsia"/>
          <w:sz w:val="24"/>
          <w:szCs w:val="24"/>
        </w:rPr>
        <w:t>65</w:t>
      </w:r>
      <w:r>
        <w:rPr>
          <w:rFonts w:ascii="宋体" w:hAnsi="宋体"/>
          <w:sz w:val="24"/>
          <w:szCs w:val="24"/>
        </w:rPr>
        <w:t>AH,交流电源按两路设计，直流</w:t>
      </w:r>
      <w:r>
        <w:rPr>
          <w:rFonts w:ascii="宋体" w:hAnsi="宋体"/>
          <w:sz w:val="24"/>
          <w:szCs w:val="24"/>
        </w:rPr>
        <w:t>屏至少</w:t>
      </w:r>
      <w:r>
        <w:rPr>
          <w:rFonts w:ascii="宋体" w:hAnsi="宋体"/>
          <w:sz w:val="24"/>
          <w:szCs w:val="24"/>
        </w:rPr>
        <w:t>要配置微机监控单元、绝缘监测仪、电池巡检仪、带防雷保护的</w:t>
      </w:r>
      <w:r>
        <w:rPr>
          <w:rFonts w:ascii="宋体" w:hAnsi="宋体"/>
          <w:sz w:val="24"/>
          <w:szCs w:val="24"/>
        </w:rPr>
        <w:t>交流互投装置</w:t>
      </w:r>
      <w:r>
        <w:rPr>
          <w:rFonts w:ascii="宋体" w:hAnsi="宋体"/>
          <w:sz w:val="24"/>
          <w:szCs w:val="24"/>
        </w:rPr>
        <w:t>。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技术参数:充电机浮充稳压精度≤</w:t>
      </w:r>
      <w:r>
        <w:rPr>
          <w:rFonts w:ascii="宋体" w:hAnsi="宋体" w:hint="eastAsia"/>
          <w:sz w:val="24"/>
          <w:szCs w:val="24"/>
        </w:rPr>
        <w:t>±</w:t>
      </w:r>
      <w:r>
        <w:rPr>
          <w:rFonts w:ascii="宋体" w:hAnsi="宋体"/>
          <w:sz w:val="24"/>
          <w:szCs w:val="24"/>
        </w:rPr>
        <w:t>0.5%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调压装置稳压精度≤</w:t>
      </w:r>
      <w:r>
        <w:rPr>
          <w:rFonts w:ascii="宋体" w:hAnsi="宋体" w:hint="eastAsia"/>
          <w:sz w:val="24"/>
          <w:szCs w:val="24"/>
        </w:rPr>
        <w:t>±</w:t>
      </w:r>
      <w:r>
        <w:rPr>
          <w:rFonts w:ascii="宋体" w:hAnsi="宋体"/>
          <w:sz w:val="24"/>
          <w:szCs w:val="24"/>
        </w:rPr>
        <w:t>5%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充电机主充稳流精度≤</w:t>
      </w:r>
      <w:r>
        <w:rPr>
          <w:rFonts w:ascii="宋体" w:hAnsi="宋体" w:hint="eastAsia"/>
          <w:sz w:val="24"/>
          <w:szCs w:val="24"/>
        </w:rPr>
        <w:t>±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/>
          <w:sz w:val="24"/>
          <w:szCs w:val="24"/>
        </w:rPr>
        <w:t>5%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交流输入电压允许范围≤+15%-20%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纹波系数≤0.2%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交流输入过压保护418V(可设定)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充电模块间电流不均衡度≤</w:t>
      </w:r>
      <w:r>
        <w:rPr>
          <w:rFonts w:ascii="宋体" w:hAnsi="宋体" w:hint="eastAsia"/>
          <w:sz w:val="24"/>
          <w:szCs w:val="24"/>
        </w:rPr>
        <w:t>±</w:t>
      </w:r>
      <w:r>
        <w:rPr>
          <w:rFonts w:ascii="宋体" w:hAnsi="宋体"/>
          <w:sz w:val="24"/>
          <w:szCs w:val="24"/>
        </w:rPr>
        <w:t>5%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直流输出过压保护242V(可设定)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功率因数&gt;0.95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效率</w:t>
      </w:r>
      <w:r>
        <w:rPr>
          <w:rFonts w:ascii="宋体" w:hAnsi="宋体"/>
          <w:sz w:val="24"/>
          <w:szCs w:val="24"/>
        </w:rPr>
        <w:t>≥90%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噪声≤55dB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模块输出电压可调范围196</w:t>
      </w:r>
      <w:r>
        <w:rPr>
          <w:rFonts w:ascii="宋体" w:hAnsi="宋体" w:hint="eastAsia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286V。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系统配置220V阀控式密封铅酸蓄电池，具体型号参数根据各配电室</w:t>
      </w:r>
      <w:r>
        <w:rPr>
          <w:rFonts w:ascii="宋体" w:hAnsi="宋体" w:hint="eastAsia"/>
          <w:sz w:val="24"/>
          <w:szCs w:val="24"/>
        </w:rPr>
        <w:t>原规格</w:t>
      </w:r>
      <w:r>
        <w:rPr>
          <w:rFonts w:ascii="宋体" w:hAnsi="宋体"/>
          <w:sz w:val="24"/>
          <w:szCs w:val="24"/>
        </w:rPr>
        <w:t>配置。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阀控密封式铅酸蓄电池选用</w:t>
      </w:r>
      <w:r>
        <w:rPr>
          <w:rFonts w:ascii="宋体" w:hAnsi="宋体" w:hint="eastAsia"/>
          <w:sz w:val="24"/>
          <w:szCs w:val="24"/>
        </w:rPr>
        <w:t>品牌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 w:hint="eastAsia"/>
          <w:sz w:val="24"/>
          <w:szCs w:val="24"/>
        </w:rPr>
        <w:t>松下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汤浅</w:t>
      </w:r>
      <w:r>
        <w:rPr>
          <w:rFonts w:ascii="宋体" w:hAnsi="宋体" w:hint="eastAsia"/>
          <w:sz w:val="24"/>
          <w:szCs w:val="24"/>
        </w:rPr>
        <w:t>、阳光旗下的GNB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随箱附质量保证</w:t>
      </w:r>
      <w:r>
        <w:rPr>
          <w:rFonts w:ascii="宋体" w:hAnsi="宋体"/>
          <w:sz w:val="24"/>
          <w:szCs w:val="24"/>
        </w:rPr>
        <w:t>书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商检报告。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蓄电池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蓄电池组屏布置在中压室内。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蓄电池应满足以下技术要求: 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蓄电池使用寿命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年及以上</w:t>
      </w:r>
      <w:bookmarkStart w:id="0" w:name="_GoBack"/>
      <w:bookmarkEnd w:id="0"/>
      <w:r>
        <w:rPr>
          <w:rFonts w:ascii="宋体" w:hAnsi="宋体"/>
          <w:sz w:val="24"/>
          <w:szCs w:val="24"/>
        </w:rPr>
        <w:t>(20</w:t>
      </w:r>
      <w:r>
        <w:rPr>
          <w:rFonts w:ascii="宋体" w:hAnsi="宋体" w:hint="eastAsia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25</w:t>
      </w:r>
      <w:r>
        <w:rPr>
          <w:rFonts w:ascii="宋体" w:hAnsi="宋体" w:hint="eastAsia"/>
          <w:sz w:val="24"/>
          <w:szCs w:val="24"/>
        </w:rPr>
        <w:t>度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蓄电池组对地坪荷重不大于1200KG/每平方米，否则投标方应提出减负方案。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直流装置出厂前，</w:t>
      </w:r>
      <w:r>
        <w:rPr>
          <w:rFonts w:ascii="宋体" w:hAnsi="宋体"/>
          <w:sz w:val="24"/>
          <w:szCs w:val="24"/>
        </w:rPr>
        <w:t>蓄电池</w:t>
      </w:r>
      <w:r>
        <w:rPr>
          <w:rFonts w:ascii="宋体" w:hAnsi="宋体" w:hint="eastAsia"/>
          <w:sz w:val="24"/>
          <w:szCs w:val="24"/>
        </w:rPr>
        <w:t>需做容量试验，并向甲方提供试验报告。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正常使用的环境条件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海拔高度</w:t>
      </w:r>
      <w:r>
        <w:rPr>
          <w:rFonts w:ascii="宋体" w:hAnsi="宋体"/>
          <w:sz w:val="24"/>
          <w:szCs w:val="24"/>
        </w:rPr>
        <w:t>&lt;1000m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设备运行环境温度</w:t>
      </w:r>
      <w:r>
        <w:rPr>
          <w:rFonts w:ascii="宋体" w:hAnsi="宋体"/>
          <w:sz w:val="24"/>
          <w:szCs w:val="24"/>
        </w:rPr>
        <w:t>-10C</w:t>
      </w:r>
      <w:r>
        <w:rPr>
          <w:rFonts w:ascii="宋体" w:hAnsi="宋体" w:hint="eastAsia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+40C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日平均相对湿度&lt;95%，月平均相对湿度&lt;90%。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干扰能力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1)设备通讯接口必须采取隔离措施，不同接地点的设备连接必须采用电气隔离措施，不破坏“一点接地”的原则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2)设备安装于10kV变电站内无电磁屏蔽的房间中，设备自身必须满足抗电磁干扰及静电影响的要求。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绝缘性能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1)绝缘电阻:直流系统无电气联系的各回路之间、外壳相互之间用开路电压500V兆欧表测量其绝缘电阻值，正常试验大气条件下，各回路绝缘电阻不小于100MQ。2)介质强度:在正常试验大气条件下，直流系统无电气联系的各回路之间、外壳相互之间能承受频率50HZ,电压2kV,历时1分钟的工频耐压试验而无闪络击穿现象。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3)冲击电压:在正常试验大气条件下，直流系统无电气联系的各回路之间、外壳相互之间能承受1.2/50Hs的标准</w:t>
      </w:r>
      <w:r>
        <w:rPr>
          <w:rFonts w:ascii="宋体" w:hAnsi="宋体"/>
          <w:sz w:val="24"/>
          <w:szCs w:val="24"/>
        </w:rPr>
        <w:t>雷电波短时</w:t>
      </w:r>
      <w:r>
        <w:rPr>
          <w:rFonts w:ascii="宋体" w:hAnsi="宋体"/>
          <w:sz w:val="24"/>
          <w:szCs w:val="24"/>
        </w:rPr>
        <w:t>冲击电压试验，开路试验电压5kV。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4)湿热性能:耐湿热性能符合GB7261。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机械性能:产品承受机械动和机械冲击的能力符合</w:t>
      </w:r>
      <w:r>
        <w:rPr>
          <w:rFonts w:ascii="宋体" w:hAnsi="宋体"/>
          <w:sz w:val="24"/>
          <w:szCs w:val="24"/>
        </w:rPr>
        <w:t>ZBK45017-90</w:t>
      </w:r>
      <w:r>
        <w:rPr>
          <w:rFonts w:ascii="宋体" w:hAnsi="宋体"/>
          <w:sz w:val="24"/>
          <w:szCs w:val="24"/>
        </w:rPr>
        <w:t>中第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/>
          <w:sz w:val="24"/>
          <w:szCs w:val="24"/>
        </w:rPr>
        <w:t>5条规定。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结构和功能要求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为满足直流设备技术要求，提供设备主要配置:微机监控系统、开关整流模块、免维护蓄电池组、绝缘监测装置、自动调压装置、蓄电池监测装置、直流</w:t>
      </w:r>
      <w:r>
        <w:rPr>
          <w:rFonts w:ascii="宋体" w:hAnsi="宋体"/>
          <w:sz w:val="24"/>
          <w:szCs w:val="24"/>
        </w:rPr>
        <w:t>馈</w:t>
      </w:r>
      <w:r>
        <w:rPr>
          <w:rFonts w:ascii="宋体" w:hAnsi="宋体"/>
          <w:sz w:val="24"/>
          <w:szCs w:val="24"/>
        </w:rPr>
        <w:t>出配电单元等组成。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设备配置方式:充电柜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电池柜。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直流馈线单元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直流馈线单元包括绝缘监测、馈线单元等电路，具体功能如下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1)直流母线设置1套绝缘监视装置。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2)</w:t>
      </w:r>
      <w:r>
        <w:rPr>
          <w:rFonts w:ascii="宋体" w:hAnsi="宋体"/>
          <w:sz w:val="24"/>
          <w:szCs w:val="24"/>
        </w:rPr>
        <w:t>馈</w:t>
      </w:r>
      <w:r>
        <w:rPr>
          <w:rFonts w:ascii="宋体" w:hAnsi="宋体"/>
          <w:sz w:val="24"/>
          <w:szCs w:val="24"/>
        </w:rPr>
        <w:t>出回路依据具体工程的直流系统原理而定并预留15%的备用回路。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监控模块(系统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集中监控电源系统中的整流模块、蓄电池组、母线调压装置、馈线单元的工作运行参数等，根据现场设备实际情况决定直流电源设备的运行方式。并能对所有电流、电压、电池等参数进行数据采集处理输出，直流设备的运行状态进行实时监控，并具有强大通信功能。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直流电源设备的通信接口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1)直流电源设备能提供RS-485接口，支持</w:t>
      </w:r>
      <w:r>
        <w:rPr>
          <w:rFonts w:ascii="宋体" w:hAnsi="宋体"/>
          <w:sz w:val="24"/>
          <w:szCs w:val="24"/>
        </w:rPr>
        <w:t>profibus</w:t>
      </w:r>
      <w:r>
        <w:rPr>
          <w:rFonts w:ascii="宋体" w:hAnsi="宋体"/>
          <w:sz w:val="24"/>
          <w:szCs w:val="24"/>
        </w:rPr>
        <w:t>等多种规约，易于接入上位机监控系统，实现无人值守。充电装置具有声光报警功能。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2)</w:t>
      </w:r>
      <w:r>
        <w:rPr>
          <w:rFonts w:ascii="宋体" w:hAnsi="宋体"/>
          <w:sz w:val="24"/>
          <w:szCs w:val="24"/>
        </w:rPr>
        <w:t>微机监控单元具有完善“遥控、遥测、遥信、遥调”</w:t>
      </w:r>
      <w:r>
        <w:rPr>
          <w:rFonts w:ascii="宋体" w:hAnsi="宋体"/>
          <w:sz w:val="24"/>
          <w:szCs w:val="24"/>
        </w:rPr>
        <w:t>四遥功能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3)微机监控单元采用大屏幕液晶显示器，全汉化显示，操作简便，便于学习掌握。微机监控单元退出系统以后，不影响系统运行。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绝缘检测装置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绝缘检测装置应运行可靠、功能齐全、测量准确及抗干扰。当发生接地故障或绝缘电阻小于报警绝缘电阻值时，发报警信号。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调压装置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自动调压装置应采用可靠精确的调压电路，对母线电压进行不间断调整。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.1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电池自动检测装置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自动巡检装置应可结合监控系统实现蓄电池自动管理及监测，自动检测蓄电池组的端电压、单只电池电压，具有手动和自动巡检功能。当蓄电池组中任</w:t>
      </w:r>
      <w:r>
        <w:rPr>
          <w:rFonts w:ascii="宋体" w:hAnsi="宋体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电池</w:t>
      </w:r>
      <w:r>
        <w:rPr>
          <w:rFonts w:ascii="宋体" w:hAnsi="宋体"/>
          <w:sz w:val="24"/>
          <w:szCs w:val="24"/>
        </w:rPr>
        <w:t>电压超限时</w:t>
      </w:r>
      <w:r>
        <w:rPr>
          <w:rFonts w:ascii="宋体" w:hAnsi="宋体"/>
          <w:sz w:val="24"/>
          <w:szCs w:val="24"/>
        </w:rPr>
        <w:t>(过高过低)或离群时，现场自动发出报警，并将信号送至直流屏微机监控系统，</w:t>
      </w:r>
      <w:r>
        <w:rPr>
          <w:rFonts w:ascii="宋体" w:hAnsi="宋体"/>
          <w:sz w:val="24"/>
          <w:szCs w:val="24"/>
        </w:rPr>
        <w:t>经过微机监控系统处理后送至远程监控系统。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.1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柜体要求:直流屏柜体框架由型材组合而成，采用不少于2mm厚的不低于宝钢、武钢产的覆铝锌钢板制成，其中后柜门的厚度为2.5mm，前柜门采用高强度钢化玻璃。电气安装采用的安装板、</w:t>
      </w:r>
      <w:r>
        <w:rPr>
          <w:rFonts w:ascii="宋体" w:hAnsi="宋体"/>
          <w:sz w:val="24"/>
          <w:szCs w:val="24"/>
        </w:rPr>
        <w:t>条梁须镀锌</w:t>
      </w:r>
      <w:r>
        <w:rPr>
          <w:rFonts w:ascii="宋体" w:hAnsi="宋体"/>
          <w:sz w:val="24"/>
          <w:szCs w:val="24"/>
        </w:rPr>
        <w:t>钝化处理，并保证可靠的接地连续性。底盖板、护板均可拆卸，便于安装接线维护。成排柜，柜与柜之间应有隔板。箱体、二层底板及隔板厚度不低于2mm。柜内各种器具应安装牢固，导线排列整齐，压接牢固。柜体的内外表面，均应进行磷化处理或用其它办法作处理，以真正达到防蚀目的，然后涂一层底漆，</w:t>
      </w: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层填嵌，最后涂上与配电柜统</w:t>
      </w: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颜色。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.1</w:t>
      </w: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柜体尺寸为:按</w:t>
      </w:r>
      <w:r>
        <w:rPr>
          <w:rFonts w:ascii="宋体" w:hAnsi="宋体" w:hint="eastAsia"/>
          <w:sz w:val="24"/>
          <w:szCs w:val="24"/>
        </w:rPr>
        <w:t>原</w:t>
      </w:r>
      <w:r>
        <w:rPr>
          <w:rFonts w:ascii="宋体" w:hAnsi="宋体" w:hint="eastAsia"/>
          <w:sz w:val="24"/>
          <w:szCs w:val="24"/>
        </w:rPr>
        <w:t>配电房</w:t>
      </w:r>
      <w:r>
        <w:rPr>
          <w:rFonts w:ascii="宋体" w:hAnsi="宋体" w:hint="eastAsia"/>
          <w:sz w:val="24"/>
          <w:szCs w:val="24"/>
        </w:rPr>
        <w:t>规格</w:t>
      </w:r>
      <w:r>
        <w:rPr>
          <w:rFonts w:ascii="宋体" w:hAnsi="宋体"/>
          <w:sz w:val="24"/>
          <w:szCs w:val="24"/>
        </w:rPr>
        <w:t>要求,其防护等级不低于IP20级。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母线电压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1)控制母线工作电压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>DC220V</w:t>
      </w:r>
      <w:r>
        <w:rPr>
          <w:rFonts w:ascii="宋体" w:hAnsi="宋体" w:hint="eastAsia"/>
          <w:sz w:val="24"/>
          <w:szCs w:val="24"/>
        </w:rPr>
        <w:t>±</w:t>
      </w: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5%，设控制母线电压表，电流表各1只。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>2)母线工作电压:整流模块输出电压在100V</w:t>
      </w:r>
      <w:r>
        <w:rPr>
          <w:rFonts w:ascii="宋体" w:hAnsi="宋体" w:hint="eastAsia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250V之间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设整流模块输出电压表</w:t>
      </w:r>
      <w:r>
        <w:rPr>
          <w:rFonts w:ascii="宋体" w:hAnsi="宋体"/>
          <w:sz w:val="24"/>
          <w:szCs w:val="24"/>
        </w:rPr>
        <w:t>1只。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Words>1921</Words>
  <Pages>3</Pages>
  <Characters>2155</Characters>
  <Application>WPS Office</Application>
  <DocSecurity>0</DocSecurity>
  <Paragraphs>7</Paragraphs>
  <ScaleCrop>false</ScaleCrop>
  <LinksUpToDate>false</LinksUpToDate>
  <CharactersWithSpaces>2205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2022-01-05T00:45:00Z</dcterms:created>
  <dc:creator>崔爱民</dc:creator>
  <lastModifiedBy>NTH-AN00</lastModifiedBy>
  <dcterms:modified xsi:type="dcterms:W3CDTF">2022-01-13T00:05:03Z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2046980583d54cd4b0950121bbd98b60</vt:lpwstr>
  </property>
</Properties>
</file>